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(optional;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000000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(e.g.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000000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000000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>up your daughter/ward, please inform the Guider in writing. In 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 xml:space="preserve">emergency situation,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0F6904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1D0E" w14:textId="77777777" w:rsidR="000F6904" w:rsidRDefault="000F6904" w:rsidP="00E45F10">
      <w:r>
        <w:separator/>
      </w:r>
    </w:p>
  </w:endnote>
  <w:endnote w:type="continuationSeparator" w:id="0">
    <w:p w14:paraId="7081B50C" w14:textId="77777777" w:rsidR="000F6904" w:rsidRDefault="000F6904" w:rsidP="00E45F10">
      <w:r>
        <w:continuationSeparator/>
      </w:r>
    </w:p>
  </w:endnote>
  <w:endnote w:type="continuationNotice" w:id="1">
    <w:p w14:paraId="41856A33" w14:textId="77777777" w:rsidR="000F6904" w:rsidRDefault="000F6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342" w14:textId="77777777" w:rsidR="000F6904" w:rsidRDefault="000F6904" w:rsidP="00E45F10">
      <w:r>
        <w:separator/>
      </w:r>
    </w:p>
  </w:footnote>
  <w:footnote w:type="continuationSeparator" w:id="0">
    <w:p w14:paraId="7A77F055" w14:textId="77777777" w:rsidR="000F6904" w:rsidRDefault="000F6904" w:rsidP="00E45F10">
      <w:r>
        <w:continuationSeparator/>
      </w:r>
    </w:p>
  </w:footnote>
  <w:footnote w:type="continuationNotice" w:id="1">
    <w:p w14:paraId="08D61BC3" w14:textId="77777777" w:rsidR="000F6904" w:rsidRDefault="000F6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6904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956B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000000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172B20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Jill White</cp:lastModifiedBy>
  <cp:revision>2</cp:revision>
  <cp:lastPrinted>2022-09-09T23:21:00Z</cp:lastPrinted>
  <dcterms:created xsi:type="dcterms:W3CDTF">2024-01-23T14:50:00Z</dcterms:created>
  <dcterms:modified xsi:type="dcterms:W3CDTF">2024-01-23T14:50:00Z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