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2C01DCD0"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DA5235">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704C2B5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Ball's Falls Conservation Area</w:t>
                </w:r>
                <w:r w:rsidR="00C953C8">
                  <w:t xml:space="preserve"> -</w:t>
                </w:r>
                <w:r w:rsidR="00C953C8" w:rsidRPr="00C953C8">
                  <w:t xml:space="preserve"> Outdoor Experience</w:t>
                </w:r>
              </w:sdtContent>
            </w:sdt>
          </w:p>
        </w:tc>
        <w:tc>
          <w:tcPr>
            <w:tcW w:w="1830" w:type="pct"/>
            <w:vAlign w:val="center"/>
          </w:tcPr>
          <w:p w14:paraId="00E2F7DF" w14:textId="003DD208"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135F7F">
                  <w:t>May 11</w:t>
                </w:r>
                <w:r w:rsidR="00DA5235">
                  <w:t>,</w:t>
                </w:r>
                <w:r w:rsidR="00705EC3">
                  <w:t xml:space="preserve"> 202</w:t>
                </w:r>
                <w:r w:rsidR="002A063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135F7F">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135F7F"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135F7F"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135F7F"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09D2B97E"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881A27" w:rsidRPr="00850F26">
                  <w:t xml:space="preserve"> </w:t>
                </w:r>
                <w:r w:rsidR="00881A27">
                  <w:t>(</w:t>
                </w:r>
                <w:r w:rsidR="00881A27" w:rsidRPr="00850F26">
                  <w:t>905) 945-2211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3D2E795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4100D">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1B091C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E79A2" w:rsidRPr="009E79A2">
                  <w:t>905.788.3135</w:t>
                </w:r>
                <w:r w:rsidR="00F85AEB">
                  <w:t xml:space="preserve"> </w:t>
                </w:r>
                <w:r w:rsidR="00F85AEB" w:rsidRPr="00832948">
                  <w:t>ext 322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4AE642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467F1" w:rsidRPr="002467F1">
                  <w:t>1-800-263-7248</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135F7F"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135F7F"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135F7F"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9B792D9" w:rsidR="00C2478A" w:rsidRPr="003940EB" w:rsidRDefault="00135F7F"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F165A" w:rsidRPr="00AF165A">
                  <w:t>3292 Sixth Avenue, Lincoln ON, L0R 1S0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135F7F"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135F7F"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661" w14:textId="77777777" w:rsidR="00955E8F" w:rsidRDefault="00955E8F" w:rsidP="004A02F1">
      <w:r>
        <w:separator/>
      </w:r>
    </w:p>
  </w:endnote>
  <w:endnote w:type="continuationSeparator" w:id="0">
    <w:p w14:paraId="0DBA1890" w14:textId="77777777" w:rsidR="00955E8F" w:rsidRDefault="00955E8F" w:rsidP="004A02F1">
      <w:r>
        <w:continuationSeparator/>
      </w:r>
    </w:p>
  </w:endnote>
  <w:endnote w:type="continuationNotice" w:id="1">
    <w:p w14:paraId="1FD2A9A7" w14:textId="77777777" w:rsidR="00955E8F" w:rsidRDefault="00955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1CEE" w14:textId="77777777" w:rsidR="00955E8F" w:rsidRDefault="00955E8F" w:rsidP="00C00F9A">
      <w:r>
        <w:separator/>
      </w:r>
    </w:p>
  </w:footnote>
  <w:footnote w:type="continuationSeparator" w:id="0">
    <w:p w14:paraId="069C5C25" w14:textId="77777777" w:rsidR="00955E8F" w:rsidRDefault="00955E8F" w:rsidP="004A02F1">
      <w:r>
        <w:continuationSeparator/>
      </w:r>
    </w:p>
  </w:footnote>
  <w:footnote w:type="continuationNotice" w:id="1">
    <w:p w14:paraId="6C445910" w14:textId="77777777" w:rsidR="00955E8F" w:rsidRDefault="00955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1C"/>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35F7F"/>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0631"/>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62C1D"/>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37F08"/>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6EF0"/>
    <w:rsid w:val="0080321E"/>
    <w:rsid w:val="00813F32"/>
    <w:rsid w:val="008206F8"/>
    <w:rsid w:val="00821CF7"/>
    <w:rsid w:val="00826C07"/>
    <w:rsid w:val="00826FB9"/>
    <w:rsid w:val="008345F7"/>
    <w:rsid w:val="0084100D"/>
    <w:rsid w:val="00841FF2"/>
    <w:rsid w:val="008432E9"/>
    <w:rsid w:val="0084376E"/>
    <w:rsid w:val="00860240"/>
    <w:rsid w:val="00862985"/>
    <w:rsid w:val="0086433D"/>
    <w:rsid w:val="00872D89"/>
    <w:rsid w:val="00881A27"/>
    <w:rsid w:val="008851E7"/>
    <w:rsid w:val="00886B56"/>
    <w:rsid w:val="0089231C"/>
    <w:rsid w:val="008929AB"/>
    <w:rsid w:val="00895278"/>
    <w:rsid w:val="008954F3"/>
    <w:rsid w:val="008A46CE"/>
    <w:rsid w:val="008A5455"/>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5E8F"/>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38CA"/>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5235"/>
    <w:rsid w:val="00DA5E01"/>
    <w:rsid w:val="00DA7D42"/>
    <w:rsid w:val="00DB4EF6"/>
    <w:rsid w:val="00DB7E6D"/>
    <w:rsid w:val="00DC63F1"/>
    <w:rsid w:val="00DD1034"/>
    <w:rsid w:val="00DE095A"/>
    <w:rsid w:val="00DE2538"/>
    <w:rsid w:val="00DE495D"/>
    <w:rsid w:val="00DF7559"/>
    <w:rsid w:val="00E0755F"/>
    <w:rsid w:val="00E07A4E"/>
    <w:rsid w:val="00E25F27"/>
    <w:rsid w:val="00E26CA1"/>
    <w:rsid w:val="00E31276"/>
    <w:rsid w:val="00E33709"/>
    <w:rsid w:val="00E41135"/>
    <w:rsid w:val="00E41A8C"/>
    <w:rsid w:val="00E41C2C"/>
    <w:rsid w:val="00E4711B"/>
    <w:rsid w:val="00E579DA"/>
    <w:rsid w:val="00E634D6"/>
    <w:rsid w:val="00E65E40"/>
    <w:rsid w:val="00E673A0"/>
    <w:rsid w:val="00E763E7"/>
    <w:rsid w:val="00E80BA9"/>
    <w:rsid w:val="00E91112"/>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5AEB"/>
    <w:rsid w:val="00F91428"/>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rsid w:val="00E471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01929"/>
    <w:rsid w:val="005F11B4"/>
    <w:rsid w:val="00612A4E"/>
    <w:rsid w:val="00640338"/>
    <w:rsid w:val="006832B8"/>
    <w:rsid w:val="006C5AA3"/>
    <w:rsid w:val="00813EBB"/>
    <w:rsid w:val="00B0607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4C015872-30AE-431B-8C66-39284EB1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13835</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2024-02-13T20:59:00Z</dcterms:created>
  <dcterms:modified xsi:type="dcterms:W3CDTF">2024-02-13T20:59:00Z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