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Generic Kit List for Green Mania Participants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Sleeping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sleeping system:  sleeping bag or quilt and blankets, foam or thermarest, pillow or bag to stuff clothing in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pjs or sleep wear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Daily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Short (with shoulder caps) and long sleeved tops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- Pants and one pair of shorts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- underwear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- 3 + pairs of socks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- sweater or fleece top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- windproof jacket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- hat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- running shoes or hiking boots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- recommend a complete change of clothing for each day camping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Rainwear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- rain jacket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- rain boots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- water bottle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- sunscreen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- sunglasses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- bug repellent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- lip balm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- flashlight with spare batteries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- ditty bag containing plate, bowl, cup/mug, spoon, fork, knife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- toiletries:  toothbrush, tooth paste,brush/comb, soap, face  cloth, deodorant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- sanitary products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- medication in original containers and labeled with youth’s name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- camp chair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