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09B90C7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7E01FE">
              <w:rPr>
                <w:lang w:val="en-CA"/>
              </w:rPr>
              <w:t>Feb 8</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B24D0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AD8AD84" w14:textId="77777777" w:rsidR="00B24D01" w:rsidRPr="00A71CF9" w:rsidRDefault="009A0B2C" w:rsidP="00B24D01">
            <w:pPr>
              <w:rPr>
                <w:color w:val="FF0000"/>
              </w:rPr>
            </w:pPr>
            <w:r w:rsidRPr="00A71CF9">
              <w:rPr>
                <w:color w:val="FF0000"/>
              </w:rPr>
              <w:t xml:space="preserve">The secure room at our location is: </w:t>
            </w:r>
            <w:r w:rsidR="00B24D01">
              <w:t>follow directions of facility staff</w:t>
            </w:r>
          </w:p>
          <w:p w14:paraId="02A7E0B8" w14:textId="75858FC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4D01"/>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DF2120"/>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2778</Words>
  <Characters>14395</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2024-11-05T17:54:00Z</dcterms:created>
  <dcterms:modified xsi:type="dcterms:W3CDTF">2024-11-05T19:55:00Z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