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0367C6FA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rPr>
                <w:noProof/>
              </w:rPr>
              <w:t xml:space="preserve">GPR Fall Challenge Day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591745DA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rPr>
                <w:noProof/>
              </w:rPr>
              <w:t>Aug 20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470D0E62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rPr>
                <w:noProof/>
              </w:rPr>
              <w:t>Quebec Council Provincial Event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2FF8FD61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rPr>
                <w:noProof/>
              </w:rPr>
              <w:t>Qc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652E2D60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rPr>
                <w:noProof/>
              </w:rPr>
              <w:t>Mayali Cousineau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351AFF19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0A1F">
              <w:t>30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2AE335A2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rPr>
                <w:noProof/>
              </w:rPr>
              <w:t>September 27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2AD9B438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rPr>
                <w:noProof/>
              </w:rPr>
              <w:t>September 27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2B2ABF8E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t>~</w:t>
            </w:r>
            <w:r w:rsidR="00445438">
              <w:rPr>
                <w:noProof/>
              </w:rPr>
              <w:t>7:30am (depending on bus)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AC59728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5438">
              <w:t>~</w:t>
            </w:r>
            <w:r w:rsidR="00445438">
              <w:rPr>
                <w:noProof/>
              </w:rPr>
              <w:t>9pm (depending on bus)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4BD48E9B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45438">
              <w:t>Outdoor actvities centered around a STEM theme, as well as BBQ supper and central campfire.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3C5D9447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10A5B025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45438">
              <w:rPr>
                <w:noProof/>
              </w:rPr>
              <w:t>None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66CDF982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445438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3522AD3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445438">
              <w:rPr>
                <w:noProof/>
                <w:color w:val="000000"/>
              </w:rPr>
              <w:t>514 882 8315 (Mayali cell)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326F9F75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45438">
              <w:rPr>
                <w:rStyle w:val="PlaceholderText"/>
                <w:noProof/>
              </w:rPr>
              <w:t>240 Lac Bouchette Road, Morin-Heights, Qc, J0P 1H0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694814B0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445438">
              <w:rPr>
                <w:rStyle w:val="PlaceholderText"/>
                <w:noProof/>
              </w:rPr>
              <w:t>Large established Girl Guide camp with several well-equipped sites</w:t>
            </w:r>
            <w:r w:rsidR="007D72F9">
              <w:rPr>
                <w:rStyle w:val="PlaceholderText"/>
                <w:noProof/>
              </w:rPr>
              <w:t xml:space="preserve"> and</w:t>
            </w:r>
            <w:r w:rsidR="00445438">
              <w:rPr>
                <w:rStyle w:val="PlaceholderText"/>
                <w:noProof/>
              </w:rPr>
              <w:t xml:space="preserve"> a lodge</w:t>
            </w:r>
            <w:r w:rsidR="007D72F9">
              <w:rPr>
                <w:rStyle w:val="PlaceholderText"/>
                <w:noProof/>
              </w:rPr>
              <w:t>. Situated on Lac Bouchette in Morin-Heights, Quebec.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246D6DDC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1A1FA2EC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D72F9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D72F9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40881AE3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7D72F9">
              <w:rPr>
                <w:rStyle w:val="PlaceholderText"/>
                <w:noProof/>
              </w:rPr>
              <w:t>Girls will be registered and attend in patrols with at least 1 screened adult for each group of 7 or less. Any Rangers assisting with the activity facilitation will be under general supervision of the event coordinators.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78FCB637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5CAB817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72F9">
              <w:rPr>
                <w:rStyle w:val="PlaceholderText"/>
                <w:noProof/>
              </w:rPr>
              <w:t>Bussing provided; details TBC once registration is complete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191CD9A6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72F9">
              <w:rPr>
                <w:rStyle w:val="PlaceholderText"/>
              </w:rPr>
              <w:t>To be confirmed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A014568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72F9" w:rsidRPr="007D72F9">
              <w:rPr>
                <w:rStyle w:val="PlaceholderText"/>
                <w:noProof/>
              </w:rPr>
              <w:t>To be confirmed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21528F6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72F9" w:rsidRPr="007D72F9">
              <w:rPr>
                <w:rStyle w:val="PlaceholderText"/>
                <w:noProof/>
              </w:rPr>
              <w:t>To be confirmed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48ADB77B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72F9" w:rsidRPr="007D72F9">
              <w:rPr>
                <w:rStyle w:val="PlaceholderText"/>
                <w:noProof/>
              </w:rPr>
              <w:t>To be confirmed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14C0BEB5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72F9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45EFE753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D72F9" w:rsidRPr="007D72F9">
              <w:rPr>
                <w:rStyle w:val="PlaceholderText"/>
                <w:noProof/>
              </w:rPr>
              <w:t>daypack, full refillable 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7413022B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62BE6" w:rsidRPr="00D62BE6">
              <w:rPr>
                <w:rStyle w:val="PlaceholderText"/>
                <w:noProof/>
              </w:rPr>
              <w:t>peanut/tree nut free bag lunch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2DA67C0" w:rsidR="0013683A" w:rsidRDefault="0013683A" w:rsidP="009B34F0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B34F0" w:rsidRPr="009B34F0">
              <w:rPr>
                <w:rStyle w:val="PlaceholderText"/>
                <w:noProof/>
              </w:rPr>
              <w:t>sit-upon (optional), hat, sunscreen,</w:t>
            </w:r>
            <w:r w:rsidR="009B34F0">
              <w:rPr>
                <w:rStyle w:val="PlaceholderText"/>
                <w:noProof/>
              </w:rPr>
              <w:t xml:space="preserve"> </w:t>
            </w:r>
            <w:r w:rsidR="009B34F0" w:rsidRPr="009B34F0">
              <w:rPr>
                <w:rStyle w:val="PlaceholderText"/>
                <w:noProof/>
              </w:rPr>
              <w:t xml:space="preserve">insect repellant, </w:t>
            </w:r>
            <w:r w:rsidR="00646462">
              <w:rPr>
                <w:rStyle w:val="PlaceholderText"/>
                <w:noProof/>
              </w:rPr>
              <w:t xml:space="preserve">unbreakable mug with handle, </w:t>
            </w:r>
            <w:r w:rsidR="009B34F0" w:rsidRPr="009B34F0">
              <w:rPr>
                <w:rStyle w:val="PlaceholderText"/>
                <w:noProof/>
              </w:rPr>
              <w:t>flashlight or headlamp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7623F1F6" w:rsidR="0013683A" w:rsidRDefault="0013683A" w:rsidP="009B34F0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D62BE6" w:rsidRPr="00D62BE6">
              <w:rPr>
                <w:rStyle w:val="PlaceholderText"/>
                <w:noProof/>
              </w:rPr>
              <w:t>Clothing: warm/dry clothing appropriate for the</w:t>
            </w:r>
            <w:r w:rsidR="009B34F0">
              <w:rPr>
                <w:rStyle w:val="PlaceholderText"/>
                <w:noProof/>
              </w:rPr>
              <w:t xml:space="preserve"> </w:t>
            </w:r>
            <w:r w:rsidR="00D62BE6" w:rsidRPr="00D62BE6">
              <w:rPr>
                <w:rStyle w:val="PlaceholderText"/>
                <w:noProof/>
              </w:rPr>
              <w:t>day’s weather (consult Morin Heights forecast)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5BEC157B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6BCD2477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lastRenderedPageBreak/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B34F0">
              <w:rPr>
                <w:rStyle w:val="PlaceholderText"/>
              </w:rPr>
              <w:t>Mayali Cousineau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532208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B34F0">
              <w:rPr>
                <w:rStyle w:val="PlaceholderText"/>
                <w:noProof/>
              </w:rPr>
              <w:t>Your local unit guider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888255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9B34F0" w:rsidRPr="009B34F0">
              <w:rPr>
                <w:rStyle w:val="PlaceholderText"/>
                <w:noProof/>
              </w:rPr>
              <w:t>514 882 8315 (Mayali cell)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57C02E93" w:rsidR="0089152F" w:rsidRPr="00B80A1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B80A1F">
              <w:rPr>
                <w:color w:val="000000"/>
                <w:lang w:val="fr-CA"/>
              </w:rPr>
              <w:t xml:space="preserve">E-mail: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B80A1F">
              <w:rPr>
                <w:rStyle w:val="PlaceholderText"/>
                <w:lang w:val="fr-CA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01105" w:rsidRPr="00001105">
              <w:rPr>
                <w:rStyle w:val="PlaceholderText"/>
                <w:noProof/>
                <w:lang w:val="fr-CA"/>
              </w:rPr>
              <w:t>qc-camping-pleinair@guidescanada.ca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4C14" w14:textId="77777777" w:rsidR="006270C0" w:rsidRDefault="006270C0">
      <w:pPr>
        <w:spacing w:after="0"/>
      </w:pPr>
      <w:r>
        <w:separator/>
      </w:r>
    </w:p>
  </w:endnote>
  <w:endnote w:type="continuationSeparator" w:id="0">
    <w:p w14:paraId="79FDD277" w14:textId="77777777" w:rsidR="006270C0" w:rsidRDefault="006270C0">
      <w:pPr>
        <w:spacing w:after="0"/>
      </w:pPr>
      <w:r>
        <w:continuationSeparator/>
      </w:r>
    </w:p>
  </w:endnote>
  <w:endnote w:type="continuationNotice" w:id="1">
    <w:p w14:paraId="643FABB0" w14:textId="77777777" w:rsidR="006270C0" w:rsidRDefault="006270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1D880" w14:textId="77777777" w:rsidR="006270C0" w:rsidRDefault="006270C0">
      <w:pPr>
        <w:spacing w:after="0"/>
      </w:pPr>
      <w:r>
        <w:separator/>
      </w:r>
    </w:p>
  </w:footnote>
  <w:footnote w:type="continuationSeparator" w:id="0">
    <w:p w14:paraId="349548A8" w14:textId="77777777" w:rsidR="006270C0" w:rsidRDefault="006270C0">
      <w:pPr>
        <w:spacing w:after="0"/>
      </w:pPr>
      <w:r>
        <w:continuationSeparator/>
      </w:r>
    </w:p>
  </w:footnote>
  <w:footnote w:type="continuationNotice" w:id="1">
    <w:p w14:paraId="517CD27F" w14:textId="77777777" w:rsidR="006270C0" w:rsidRDefault="006270C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01105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3F59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0EFD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438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0C0"/>
    <w:rsid w:val="0062736D"/>
    <w:rsid w:val="006300EA"/>
    <w:rsid w:val="00632D67"/>
    <w:rsid w:val="00636641"/>
    <w:rsid w:val="00637277"/>
    <w:rsid w:val="00641644"/>
    <w:rsid w:val="00644174"/>
    <w:rsid w:val="00644C6E"/>
    <w:rsid w:val="00646462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D72F9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4F0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0A1F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18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B49D6"/>
    <w:rsid w:val="00CC2055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62BE6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2C3B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5</cp:revision>
  <dcterms:created xsi:type="dcterms:W3CDTF">2025-08-21T03:28:00Z</dcterms:created>
  <dcterms:modified xsi:type="dcterms:W3CDTF">2025-09-05T15:34:00Z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