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3437604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501">
                  <w:rPr>
                    <w:rStyle w:val="Underlined"/>
                  </w:rPr>
                  <w:t>Community 24 Imagine ON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1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501">
                  <w:rPr>
                    <w:rStyle w:val="Underlined"/>
                  </w:rPr>
                  <w:t>January 24,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1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501">
                  <w:rPr>
                    <w:rStyle w:val="Underlined"/>
                  </w:rPr>
                  <w:t>January 25, 2026</w:t>
                </w:r>
              </w:sdtContent>
            </w:sdt>
          </w:p>
        </w:tc>
      </w:tr>
    </w:tbl>
    <w:p w14:paraId="5CBBFE4C" w14:textId="69ED252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FE6501">
            <w:rPr>
              <w:rStyle w:val="Underlined"/>
            </w:rPr>
            <w:t>Batawa</w:t>
          </w:r>
          <w:proofErr w:type="spellEnd"/>
          <w:r w:rsidR="00FE6501">
            <w:rPr>
              <w:rStyle w:val="Underlined"/>
            </w:rPr>
            <w:t xml:space="preserve"> Community Centre, 81 Plant Street, </w:t>
          </w:r>
          <w:proofErr w:type="spellStart"/>
          <w:r w:rsidR="00FE48EC">
            <w:rPr>
              <w:rStyle w:val="Underlined"/>
            </w:rPr>
            <w:t>Batawa</w:t>
          </w:r>
          <w:proofErr w:type="spellEnd"/>
          <w:r w:rsidR="00FE48EC">
            <w:rPr>
              <w:rStyle w:val="Underlined"/>
            </w:rPr>
            <w:t>, Ontario, K0K 1E0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D6F984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64F66">
            <w:rPr>
              <w:rStyle w:val="Underlined"/>
            </w:rPr>
            <w:t xml:space="preserve">    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1-16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FE48EC">
            <w:rPr>
              <w:rStyle w:val="Underlined"/>
            </w:rPr>
            <w:t>January 16,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CC45" w14:textId="77777777" w:rsidR="000A4647" w:rsidRDefault="000A4647">
      <w:r>
        <w:separator/>
      </w:r>
    </w:p>
  </w:endnote>
  <w:endnote w:type="continuationSeparator" w:id="0">
    <w:p w14:paraId="4C642261" w14:textId="77777777" w:rsidR="000A4647" w:rsidRDefault="000A4647">
      <w:r>
        <w:continuationSeparator/>
      </w:r>
    </w:p>
  </w:endnote>
  <w:endnote w:type="continuationNotice" w:id="1">
    <w:p w14:paraId="484E3261" w14:textId="77777777" w:rsidR="000A4647" w:rsidRDefault="000A4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FF49" w14:textId="77777777" w:rsidR="000A4647" w:rsidRDefault="000A4647">
      <w:r>
        <w:separator/>
      </w:r>
    </w:p>
  </w:footnote>
  <w:footnote w:type="continuationSeparator" w:id="0">
    <w:p w14:paraId="7D29AA34" w14:textId="77777777" w:rsidR="000A4647" w:rsidRDefault="000A4647">
      <w:r>
        <w:continuationSeparator/>
      </w:r>
    </w:p>
  </w:footnote>
  <w:footnote w:type="continuationNotice" w:id="1">
    <w:p w14:paraId="68098BAB" w14:textId="77777777" w:rsidR="000A4647" w:rsidRDefault="000A4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A4647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2F76BF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1C58"/>
    <w:rsid w:val="00763A12"/>
    <w:rsid w:val="00764F66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0BE7"/>
    <w:rsid w:val="00B068B5"/>
    <w:rsid w:val="00B06C31"/>
    <w:rsid w:val="00B10497"/>
    <w:rsid w:val="00B12C38"/>
    <w:rsid w:val="00B1775C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96184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3FD4"/>
    <w:rsid w:val="00D8498F"/>
    <w:rsid w:val="00D85730"/>
    <w:rsid w:val="00D86413"/>
    <w:rsid w:val="00DA539B"/>
    <w:rsid w:val="00DA73DF"/>
    <w:rsid w:val="00DB61A4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0310"/>
    <w:rsid w:val="00FE48EC"/>
    <w:rsid w:val="00FE4DD4"/>
    <w:rsid w:val="00FE5349"/>
    <w:rsid w:val="00FE5602"/>
    <w:rsid w:val="00FE606A"/>
    <w:rsid w:val="00FE6501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0C3725"/>
    <w:rsid w:val="0015114D"/>
    <w:rsid w:val="00203872"/>
    <w:rsid w:val="002F76BF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83FD4"/>
    <w:rsid w:val="00DF67B3"/>
    <w:rsid w:val="00E323B6"/>
    <w:rsid w:val="00E403E3"/>
    <w:rsid w:val="00E52E06"/>
    <w:rsid w:val="00F361C1"/>
    <w:rsid w:val="00F455CB"/>
    <w:rsid w:val="00F92948"/>
    <w:rsid w:val="00FC76DA"/>
    <w:rsid w:val="00FE0310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2025-12-19T20:16:00Z</dcterms:created>
  <dcterms:modified xsi:type="dcterms:W3CDTF">2025-12-19T20:16:00Z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